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四川泸县经济开发区管理委员会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神仙桥化工园区洪水影响评价报告成果使用申请表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知悉四川泸县经济开发区申请使用洪水影响评价报告成果数据的有关政策和规定要求，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，承诺取得洪水影响评价报告成果后用于支持所申请的建设工程项目办理相关审批手续，不用于其他用途。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w:t>
            </w:r>
            <w:bookmarkStart w:id="0" w:name="_GoBack"/>
            <w:bookmarkEnd w:id="0"/>
            <w:r>
              <w:rPr>
                <w:rFonts w:hint="eastAsia"/>
                <w:lang w:eastAsia="zh-CN"/>
              </w:rPr>
              <w:t>洪水影响评价报告成果数据。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F747AEC"/>
    <w:rsid w:val="162F1D07"/>
    <w:rsid w:val="163D2ED2"/>
    <w:rsid w:val="27D17560"/>
    <w:rsid w:val="302C224A"/>
    <w:rsid w:val="311F6760"/>
    <w:rsid w:val="372C5922"/>
    <w:rsid w:val="3AA577B5"/>
    <w:rsid w:val="3B926970"/>
    <w:rsid w:val="3CCC76CD"/>
    <w:rsid w:val="43AF1B52"/>
    <w:rsid w:val="469C3E80"/>
    <w:rsid w:val="47E04F98"/>
    <w:rsid w:val="4D6C5989"/>
    <w:rsid w:val="616C642D"/>
    <w:rsid w:val="6268042D"/>
    <w:rsid w:val="723E3417"/>
    <w:rsid w:val="762D1373"/>
    <w:rsid w:val="76912BEA"/>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472</Words>
  <Characters>472</Characters>
  <Lines>2</Lines>
  <Paragraphs>1</Paragraphs>
  <TotalTime>8</TotalTime>
  <ScaleCrop>false</ScaleCrop>
  <LinksUpToDate>false</LinksUpToDate>
  <CharactersWithSpaces>536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2023-04-25T08:37:21Z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B132E63DA45D4F7AA0A5955403F531C9</vt:lpwstr>
  </property>
</Properties>
</file>